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ED" w:rsidRDefault="002B5BED" w:rsidP="002B5BED">
      <w:pPr>
        <w:pStyle w:val="Heading1"/>
      </w:pPr>
      <w:r>
        <w:t>Chapter 1 Stress, Definitions, Mechanisms, and Effects Outlined</w:t>
      </w:r>
    </w:p>
    <w:p w:rsidR="002B5BED" w:rsidRDefault="002B5BED" w:rsidP="002B5BED">
      <w:pPr>
        <w:pStyle w:val="Heading1"/>
      </w:pPr>
      <w:r>
        <w:t>Lessons from Anxiety</w:t>
      </w:r>
    </w:p>
    <w:p w:rsidR="002B5BED" w:rsidRDefault="002B5BED" w:rsidP="002B5BED">
      <w:pPr>
        <w:spacing w:line="480" w:lineRule="auto"/>
      </w:pPr>
      <w:r>
        <w:t xml:space="preserve">G. Fink </w:t>
      </w:r>
    </w:p>
    <w:p w:rsidR="002B5BED" w:rsidRDefault="002B5BED" w:rsidP="002B5BED">
      <w:pPr>
        <w:spacing w:line="480" w:lineRule="auto"/>
      </w:pPr>
      <w:r>
        <w:t>Florey Institute of Neuroscience and Mental Health, University of Melbourne, Parkville, VIC, Australia</w:t>
      </w:r>
    </w:p>
    <w:p w:rsidR="002B5BED" w:rsidRDefault="002B5BED" w:rsidP="002B5BED">
      <w:pPr>
        <w:spacing w:line="480" w:lineRule="auto"/>
      </w:pPr>
      <w:bookmarkStart w:id="0" w:name="_GoBack"/>
      <w:bookmarkEnd w:id="0"/>
    </w:p>
    <w:p w:rsidR="002B5BED" w:rsidRDefault="002B5BED" w:rsidP="002B5BED">
      <w:pPr>
        <w:spacing w:line="480" w:lineRule="auto"/>
      </w:pPr>
      <w:r>
        <w:t xml:space="preserve">Table 1 </w:t>
      </w:r>
    </w:p>
    <w:p w:rsidR="002B5BED" w:rsidRDefault="002B5BED" w:rsidP="002B5BED">
      <w:pPr>
        <w:spacing w:line="480" w:lineRule="auto"/>
      </w:pPr>
      <w:r>
        <w:t>Prototype of Self-Report Symptoms of Fear, Anxiety, and Depression</w:t>
      </w:r>
    </w:p>
    <w:tbl>
      <w:tblPr>
        <w:tblStyle w:val="TableGrid"/>
        <w:tblW w:w="0" w:type="auto"/>
        <w:tblLayout w:type="fixed"/>
        <w:tblLook w:val="05E0" w:firstRow="1" w:lastRow="1" w:firstColumn="1" w:lastColumn="1" w:noHBand="0" w:noVBand="1"/>
      </w:tblPr>
      <w:tblGrid>
        <w:gridCol w:w="2394"/>
        <w:gridCol w:w="2394"/>
        <w:gridCol w:w="2394"/>
        <w:gridCol w:w="2394"/>
      </w:tblGrid>
      <w:tr w:rsidR="002B5BED" w:rsidRPr="005B07CC" w:rsidTr="006C77EC">
        <w:tc>
          <w:tcPr>
            <w:tcW w:w="2394" w:type="dxa"/>
          </w:tcPr>
          <w:p w:rsidR="002B5BED" w:rsidRPr="005B07CC" w:rsidRDefault="002B5BED" w:rsidP="006C77EC">
            <w:pPr>
              <w:spacing w:line="480" w:lineRule="auto"/>
            </w:pPr>
          </w:p>
        </w:tc>
        <w:tc>
          <w:tcPr>
            <w:tcW w:w="7182" w:type="dxa"/>
            <w:gridSpan w:val="3"/>
          </w:tcPr>
          <w:p w:rsidR="002B5BED" w:rsidRPr="005B07CC" w:rsidRDefault="002B5BED" w:rsidP="006C77EC">
            <w:pPr>
              <w:spacing w:line="480" w:lineRule="auto"/>
            </w:pPr>
            <w:proofErr w:type="spellStart"/>
            <w:r w:rsidRPr="005B07CC">
              <w:t>Clusters</w:t>
            </w:r>
            <w:r w:rsidRPr="005B07CC">
              <w:rPr>
                <w:shd w:val="clear" w:color="auto" w:fill="05FFFF"/>
                <w:vertAlign w:val="superscript"/>
              </w:rPr>
              <w:t>a</w:t>
            </w:r>
            <w:proofErr w:type="spellEnd"/>
          </w:p>
        </w:tc>
      </w:tr>
      <w:tr w:rsidR="002B5BED" w:rsidRPr="005B07CC" w:rsidTr="006C77EC">
        <w:tc>
          <w:tcPr>
            <w:tcW w:w="2394" w:type="dxa"/>
          </w:tcPr>
          <w:p w:rsidR="002B5BED" w:rsidRPr="005B07CC" w:rsidRDefault="002B5BED" w:rsidP="006C77EC">
            <w:pPr>
              <w:spacing w:line="480" w:lineRule="auto"/>
            </w:pPr>
          </w:p>
        </w:tc>
        <w:tc>
          <w:tcPr>
            <w:tcW w:w="2394" w:type="dxa"/>
          </w:tcPr>
          <w:p w:rsidR="002B5BED" w:rsidRPr="005B07CC" w:rsidRDefault="002B5BED" w:rsidP="006C77EC">
            <w:pPr>
              <w:spacing w:line="480" w:lineRule="auto"/>
            </w:pPr>
            <w:r w:rsidRPr="005B07CC">
              <w:t>Fear</w:t>
            </w:r>
          </w:p>
        </w:tc>
        <w:tc>
          <w:tcPr>
            <w:tcW w:w="2394" w:type="dxa"/>
          </w:tcPr>
          <w:p w:rsidR="002B5BED" w:rsidRPr="005B07CC" w:rsidRDefault="002B5BED" w:rsidP="006C77EC">
            <w:pPr>
              <w:spacing w:line="480" w:lineRule="auto"/>
            </w:pPr>
            <w:r w:rsidRPr="005B07CC">
              <w:t>Anxiety</w:t>
            </w:r>
          </w:p>
        </w:tc>
        <w:tc>
          <w:tcPr>
            <w:tcW w:w="2394" w:type="dxa"/>
          </w:tcPr>
          <w:p w:rsidR="002B5BED" w:rsidRPr="005B07CC" w:rsidRDefault="002B5BED" w:rsidP="006C77EC">
            <w:pPr>
              <w:spacing w:line="480" w:lineRule="auto"/>
            </w:pPr>
            <w:r w:rsidRPr="005B07CC">
              <w:t>Depression</w:t>
            </w:r>
          </w:p>
        </w:tc>
      </w:tr>
      <w:tr w:rsidR="002B5BED" w:rsidRPr="005B07CC" w:rsidTr="006C77EC">
        <w:tc>
          <w:tcPr>
            <w:tcW w:w="9576" w:type="dxa"/>
            <w:gridSpan w:val="4"/>
          </w:tcPr>
          <w:p w:rsidR="002B5BED" w:rsidRPr="005B07CC" w:rsidRDefault="002B5BED" w:rsidP="006C77EC">
            <w:pPr>
              <w:spacing w:line="480" w:lineRule="auto"/>
            </w:pPr>
            <w:r w:rsidRPr="005B07CC">
              <w:rPr>
                <w:i/>
              </w:rPr>
              <w:t>Response-systems</w:t>
            </w:r>
          </w:p>
        </w:tc>
      </w:tr>
      <w:tr w:rsidR="002B5BED" w:rsidRPr="005B07CC" w:rsidTr="006C77EC">
        <w:tc>
          <w:tcPr>
            <w:tcW w:w="2394" w:type="dxa"/>
          </w:tcPr>
          <w:p w:rsidR="002B5BED" w:rsidRPr="005B07CC" w:rsidRDefault="002B5BED" w:rsidP="006C77EC">
            <w:pPr>
              <w:spacing w:line="480" w:lineRule="auto"/>
            </w:pPr>
            <w:r w:rsidRPr="005B07CC">
              <w:t>Verbal-subjective</w:t>
            </w:r>
          </w:p>
        </w:tc>
        <w:tc>
          <w:tcPr>
            <w:tcW w:w="2394" w:type="dxa"/>
          </w:tcPr>
          <w:p w:rsidR="002B5BED" w:rsidRPr="005B07CC" w:rsidRDefault="002B5BED" w:rsidP="006C77EC">
            <w:pPr>
              <w:spacing w:line="480" w:lineRule="auto"/>
            </w:pPr>
            <w:r w:rsidRPr="005B07CC">
              <w:t>Thoughts of imminent threat</w:t>
            </w:r>
          </w:p>
        </w:tc>
        <w:tc>
          <w:tcPr>
            <w:tcW w:w="2394" w:type="dxa"/>
          </w:tcPr>
          <w:p w:rsidR="002B5BED" w:rsidRPr="005B07CC" w:rsidRDefault="002B5BED" w:rsidP="006C77EC">
            <w:pPr>
              <w:spacing w:line="480" w:lineRule="auto"/>
            </w:pPr>
            <w:r w:rsidRPr="005B07CC">
              <w:t>Thoughts of future threat</w:t>
            </w:r>
          </w:p>
        </w:tc>
        <w:tc>
          <w:tcPr>
            <w:tcW w:w="2394" w:type="dxa"/>
          </w:tcPr>
          <w:p w:rsidR="002B5BED" w:rsidRPr="005B07CC" w:rsidRDefault="002B5BED" w:rsidP="006C77EC">
            <w:pPr>
              <w:spacing w:line="480" w:lineRule="auto"/>
            </w:pPr>
            <w:r w:rsidRPr="005B07CC">
              <w:t xml:space="preserve">Thoughts of loss, </w:t>
            </w:r>
            <w:proofErr w:type="spellStart"/>
            <w:r w:rsidRPr="005B07CC">
              <w:t>failure</w:t>
            </w:r>
            <w:r w:rsidRPr="005B07CC">
              <w:rPr>
                <w:shd w:val="clear" w:color="auto" w:fill="05FFFF"/>
                <w:vertAlign w:val="superscript"/>
              </w:rPr>
              <w:t>b</w:t>
            </w:r>
            <w:proofErr w:type="spellEnd"/>
          </w:p>
        </w:tc>
      </w:tr>
      <w:tr w:rsidR="002B5BED" w:rsidRPr="005B07CC" w:rsidTr="006C77EC">
        <w:tc>
          <w:tcPr>
            <w:tcW w:w="2394" w:type="dxa"/>
          </w:tcPr>
          <w:p w:rsidR="002B5BED" w:rsidRPr="005B07CC" w:rsidRDefault="002B5BED" w:rsidP="006C77EC">
            <w:pPr>
              <w:spacing w:line="480" w:lineRule="auto"/>
            </w:pPr>
            <w:proofErr w:type="spellStart"/>
            <w:r w:rsidRPr="005B07CC">
              <w:t>Somato</w:t>
            </w:r>
            <w:proofErr w:type="spellEnd"/>
            <w:r w:rsidRPr="005B07CC">
              <w:t>-visceral</w:t>
            </w:r>
          </w:p>
        </w:tc>
        <w:tc>
          <w:tcPr>
            <w:tcW w:w="2394" w:type="dxa"/>
          </w:tcPr>
          <w:p w:rsidR="002B5BED" w:rsidRPr="005B07CC" w:rsidRDefault="002B5BED" w:rsidP="006C77EC">
            <w:pPr>
              <w:spacing w:line="480" w:lineRule="auto"/>
            </w:pPr>
            <w:r w:rsidRPr="005B07CC">
              <w:t>Sympathetic arousal</w:t>
            </w:r>
          </w:p>
        </w:tc>
        <w:tc>
          <w:tcPr>
            <w:tcW w:w="2394" w:type="dxa"/>
          </w:tcPr>
          <w:p w:rsidR="002B5BED" w:rsidRPr="005B07CC" w:rsidRDefault="002B5BED" w:rsidP="006C77EC">
            <w:pPr>
              <w:spacing w:line="480" w:lineRule="auto"/>
            </w:pPr>
            <w:r w:rsidRPr="005B07CC">
              <w:t>Muscle tension</w:t>
            </w:r>
          </w:p>
        </w:tc>
        <w:tc>
          <w:tcPr>
            <w:tcW w:w="2394" w:type="dxa"/>
          </w:tcPr>
          <w:p w:rsidR="002B5BED" w:rsidRPr="005B07CC" w:rsidRDefault="002B5BED" w:rsidP="006C77EC">
            <w:pPr>
              <w:spacing w:line="480" w:lineRule="auto"/>
            </w:pPr>
            <w:r w:rsidRPr="005B07CC">
              <w:t xml:space="preserve">Energy </w:t>
            </w:r>
            <w:proofErr w:type="spellStart"/>
            <w:r w:rsidRPr="005B07CC">
              <w:t>loss</w:t>
            </w:r>
            <w:r w:rsidRPr="005B07CC">
              <w:rPr>
                <w:shd w:val="clear" w:color="auto" w:fill="05FFFF"/>
                <w:vertAlign w:val="superscript"/>
              </w:rPr>
              <w:t>b</w:t>
            </w:r>
            <w:proofErr w:type="spellEnd"/>
          </w:p>
        </w:tc>
      </w:tr>
      <w:tr w:rsidR="002B5BED" w:rsidTr="006C77EC">
        <w:tc>
          <w:tcPr>
            <w:tcW w:w="2394" w:type="dxa"/>
          </w:tcPr>
          <w:p w:rsidR="002B5BED" w:rsidRPr="005B07CC" w:rsidRDefault="002B5BED" w:rsidP="006C77EC">
            <w:pPr>
              <w:spacing w:line="480" w:lineRule="auto"/>
            </w:pPr>
            <w:r w:rsidRPr="005B07CC">
              <w:t>Overt motor</w:t>
            </w:r>
          </w:p>
        </w:tc>
        <w:tc>
          <w:tcPr>
            <w:tcW w:w="2394" w:type="dxa"/>
          </w:tcPr>
          <w:p w:rsidR="002B5BED" w:rsidRPr="005B07CC" w:rsidRDefault="002B5BED" w:rsidP="006C77EC">
            <w:pPr>
              <w:spacing w:line="480" w:lineRule="auto"/>
            </w:pPr>
            <w:r w:rsidRPr="005B07CC">
              <w:t>Escape</w:t>
            </w:r>
          </w:p>
        </w:tc>
        <w:tc>
          <w:tcPr>
            <w:tcW w:w="2394" w:type="dxa"/>
          </w:tcPr>
          <w:p w:rsidR="002B5BED" w:rsidRPr="005B07CC" w:rsidRDefault="002B5BED" w:rsidP="006C77EC">
            <w:pPr>
              <w:spacing w:line="480" w:lineRule="auto"/>
            </w:pPr>
            <w:r w:rsidRPr="005B07CC">
              <w:t>Avoidance</w:t>
            </w:r>
          </w:p>
        </w:tc>
        <w:tc>
          <w:tcPr>
            <w:tcW w:w="2394" w:type="dxa"/>
          </w:tcPr>
          <w:p w:rsidR="002B5BED" w:rsidRDefault="002B5BED" w:rsidP="006C77EC">
            <w:pPr>
              <w:spacing w:line="480" w:lineRule="auto"/>
            </w:pPr>
            <w:proofErr w:type="spellStart"/>
            <w:r w:rsidRPr="005B07CC">
              <w:t>Withdrawal</w:t>
            </w:r>
            <w:r w:rsidRPr="005B07CC">
              <w:rPr>
                <w:shd w:val="clear" w:color="auto" w:fill="05FFFF"/>
                <w:vertAlign w:val="superscript"/>
              </w:rPr>
              <w:t>b</w:t>
            </w:r>
            <w:proofErr w:type="spellEnd"/>
          </w:p>
        </w:tc>
      </w:tr>
    </w:tbl>
    <w:p w:rsidR="002B5BED" w:rsidRDefault="002B5BED" w:rsidP="002B5BED">
      <w:pPr>
        <w:spacing w:line="480" w:lineRule="auto"/>
      </w:pPr>
      <w:proofErr w:type="gramStart"/>
      <w:r>
        <w:t>a</w:t>
      </w:r>
      <w:proofErr w:type="gramEnd"/>
      <w:r>
        <w:t xml:space="preserve"> While represented as prototypes, fear and anxiety may be better represented as points along a continuum, with varying degrees of symptom </w:t>
      </w:r>
      <w:proofErr w:type="spellStart"/>
      <w:r>
        <w:t>overlap.b</w:t>
      </w:r>
      <w:proofErr w:type="spellEnd"/>
      <w:r>
        <w:t xml:space="preserve"> More specifically, these features represent lack of positive affect, as represented by the absence of thoughts of success, the absence of energy, and the absence of desire to be with other people.</w:t>
      </w:r>
    </w:p>
    <w:p w:rsidR="002F15D7" w:rsidRDefault="002B5BED" w:rsidP="002B5BED">
      <w:pPr>
        <w:spacing w:line="480" w:lineRule="auto"/>
      </w:pPr>
      <w:proofErr w:type="gramStart"/>
      <w:r>
        <w:t xml:space="preserve">Reproduced with permission from </w:t>
      </w:r>
      <w:proofErr w:type="spellStart"/>
      <w:r>
        <w:t>Craske</w:t>
      </w:r>
      <w:proofErr w:type="spellEnd"/>
      <w:r>
        <w:t xml:space="preserve"> MG, Rauch SL, </w:t>
      </w:r>
      <w:proofErr w:type="spellStart"/>
      <w:r>
        <w:t>Ursano</w:t>
      </w:r>
      <w:proofErr w:type="spellEnd"/>
      <w:r>
        <w:t xml:space="preserve"> R, </w:t>
      </w:r>
      <w:proofErr w:type="spellStart"/>
      <w:r>
        <w:t>Prenoveau</w:t>
      </w:r>
      <w:proofErr w:type="spellEnd"/>
      <w:r>
        <w:t xml:space="preserve"> J, Pine DS, </w:t>
      </w:r>
      <w:proofErr w:type="spellStart"/>
      <w:r>
        <w:t>Zinbarg</w:t>
      </w:r>
      <w:proofErr w:type="spellEnd"/>
      <w:r>
        <w:t xml:space="preserve"> RE.</w:t>
      </w:r>
      <w:proofErr w:type="gramEnd"/>
      <w:r>
        <w:t xml:space="preserve"> </w:t>
      </w:r>
      <w:proofErr w:type="gramStart"/>
      <w:r w:rsidRPr="005B07CC">
        <w:rPr>
          <w:i/>
        </w:rPr>
        <w:t>Depression and Anxiety</w:t>
      </w:r>
      <w:r>
        <w:t>.</w:t>
      </w:r>
      <w:proofErr w:type="gramEnd"/>
      <w:r>
        <w:t xml:space="preserve"> </w:t>
      </w:r>
      <w:proofErr w:type="gramStart"/>
      <w:r>
        <w:t>John Wiley and Sons.</w:t>
      </w:r>
      <w:proofErr w:type="gramEnd"/>
    </w:p>
    <w:sectPr w:rsidR="002F15D7" w:rsidSect="00A424E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ED"/>
    <w:rsid w:val="002B5BED"/>
    <w:rsid w:val="007C6E5B"/>
    <w:rsid w:val="00B1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E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autoRedefine/>
    <w:qFormat/>
    <w:rsid w:val="002B5BED"/>
    <w:pPr>
      <w:keepNext/>
      <w:spacing w:before="240" w:after="60"/>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BED"/>
    <w:rPr>
      <w:rFonts w:ascii="Times New Roman" w:eastAsia="Times New Roman" w:hAnsi="Times New Roman" w:cs="Arial"/>
      <w:b/>
      <w:bCs/>
      <w:kern w:val="32"/>
      <w:sz w:val="24"/>
      <w:szCs w:val="32"/>
    </w:rPr>
  </w:style>
  <w:style w:type="table" w:styleId="TableGrid">
    <w:name w:val="Table Grid"/>
    <w:basedOn w:val="TableNormal"/>
    <w:rsid w:val="002B5BE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E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autoRedefine/>
    <w:qFormat/>
    <w:rsid w:val="002B5BED"/>
    <w:pPr>
      <w:keepNext/>
      <w:spacing w:before="240" w:after="60"/>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BED"/>
    <w:rPr>
      <w:rFonts w:ascii="Times New Roman" w:eastAsia="Times New Roman" w:hAnsi="Times New Roman" w:cs="Arial"/>
      <w:b/>
      <w:bCs/>
      <w:kern w:val="32"/>
      <w:sz w:val="24"/>
      <w:szCs w:val="32"/>
    </w:rPr>
  </w:style>
  <w:style w:type="table" w:styleId="TableGrid">
    <w:name w:val="Table Grid"/>
    <w:basedOn w:val="TableNormal"/>
    <w:rsid w:val="002B5BE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873</Characters>
  <Application>Microsoft Office Word</Application>
  <DocSecurity>0</DocSecurity>
  <Lines>7</Lines>
  <Paragraphs>2</Paragraphs>
  <ScaleCrop>false</ScaleCrop>
  <Company>Reed Elsevier</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Reed Elsevier</cp:lastModifiedBy>
  <cp:revision>1</cp:revision>
  <dcterms:created xsi:type="dcterms:W3CDTF">2016-05-05T09:51:00Z</dcterms:created>
  <dcterms:modified xsi:type="dcterms:W3CDTF">2016-05-05T09:54:00Z</dcterms:modified>
</cp:coreProperties>
</file>